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1" w:rightFromText="171" w:vertAnchor="text" w:tblpX="-445"/>
        <w:tblW w:w="15441" w:type="dxa"/>
        <w:tblLayout w:type="fixed"/>
        <w:tblCellMar>
          <w:left w:w="0" w:type="dxa"/>
          <w:right w:w="0" w:type="dxa"/>
        </w:tblCellMar>
        <w:tblLook w:val="04A0" w:firstRow="1" w:lastRow="0" w:firstColumn="1" w:lastColumn="0" w:noHBand="0" w:noVBand="1"/>
      </w:tblPr>
      <w:tblGrid>
        <w:gridCol w:w="757"/>
        <w:gridCol w:w="4620"/>
        <w:gridCol w:w="10064"/>
      </w:tblGrid>
      <w:tr w:rsidR="00321925" w:rsidRPr="00A90002" w:rsidTr="000B7AB4">
        <w:tc>
          <w:tcPr>
            <w:tcW w:w="154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line="240" w:lineRule="auto"/>
              <w:ind w:firstLine="459"/>
              <w:jc w:val="center"/>
              <w:rPr>
                <w:rFonts w:cs="Times New Roman"/>
                <w:b/>
                <w:i/>
                <w:szCs w:val="28"/>
              </w:rPr>
            </w:pPr>
            <w:r w:rsidRPr="00A90002">
              <w:rPr>
                <w:rFonts w:cs="Times New Roman"/>
                <w:b/>
                <w:i/>
                <w:szCs w:val="28"/>
              </w:rPr>
              <w:t>Региональная безопасность</w:t>
            </w:r>
          </w:p>
        </w:tc>
      </w:tr>
      <w:tr w:rsidR="00321925"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jc w:val="center"/>
              <w:rPr>
                <w:rFonts w:cs="Times New Roman"/>
                <w:b/>
                <w:sz w:val="24"/>
                <w:szCs w:val="24"/>
              </w:rPr>
            </w:pPr>
            <w:r w:rsidRPr="00A90002">
              <w:rPr>
                <w:rFonts w:cs="Times New Roman"/>
                <w:b/>
                <w:sz w:val="24"/>
                <w:szCs w:val="24"/>
              </w:rPr>
              <w:t>Куда можно сообщить информацию о фактах распространения или употребления наркотиков?</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ind w:firstLine="459"/>
              <w:jc w:val="both"/>
              <w:rPr>
                <w:rFonts w:cs="Times New Roman"/>
                <w:sz w:val="24"/>
                <w:szCs w:val="24"/>
              </w:rPr>
            </w:pPr>
            <w:r w:rsidRPr="00A90002">
              <w:rPr>
                <w:rFonts w:cs="Times New Roman"/>
                <w:sz w:val="24"/>
                <w:szCs w:val="24"/>
              </w:rPr>
              <w:t>Информацию о фактах распространения или употребления наркотиков можно сообщить по круглосуточному телефону дежурной части УМВД России по Тульской области 32-22-49.</w:t>
            </w:r>
          </w:p>
        </w:tc>
      </w:tr>
      <w:tr w:rsidR="00321925"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jc w:val="center"/>
              <w:rPr>
                <w:rFonts w:cs="Times New Roman"/>
                <w:b/>
                <w:sz w:val="24"/>
                <w:szCs w:val="24"/>
              </w:rPr>
            </w:pPr>
            <w:r w:rsidRPr="00A90002">
              <w:rPr>
                <w:rFonts w:cs="Times New Roman"/>
                <w:b/>
                <w:sz w:val="24"/>
                <w:szCs w:val="24"/>
              </w:rPr>
              <w:t>Как решить вопрос замены военной службы по призыву альтернативной гражданской службой?</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pStyle w:val="a3"/>
              <w:spacing w:after="0"/>
              <w:ind w:firstLine="459"/>
              <w:jc w:val="both"/>
              <w:rPr>
                <w:snapToGrid w:val="0"/>
              </w:rPr>
            </w:pPr>
            <w:r w:rsidRPr="00A90002">
              <w:rPr>
                <w:snapToGrid w:val="0"/>
              </w:rPr>
              <w:t xml:space="preserve">В соответствии с пунктом 1 статьи 12 Федерального закона от 25 июля 2002 года «Об альтернативной гражданской службе» № 113-ФЗ для рассмотрения вопроса о замене военной службы по призыву альтернативной гражданской службой необходимо подать заявление о замене военной службы по призыву альтернативной гражданской службой, которое рассматривается на заседании призывной комиссии. </w:t>
            </w:r>
            <w:proofErr w:type="gramStart"/>
            <w:r w:rsidRPr="00A90002">
              <w:rPr>
                <w:snapToGrid w:val="0"/>
              </w:rPr>
              <w:t>Согласно пункта</w:t>
            </w:r>
            <w:proofErr w:type="gramEnd"/>
            <w:r w:rsidRPr="00A90002">
              <w:rPr>
                <w:snapToGrid w:val="0"/>
              </w:rPr>
              <w:t xml:space="preserve"> 1 статьи 12 указанного Федерального закона, граждане вправе подать заявления о замене военной службы по призыву альтернативной гражданской службой в военный комиссариат, где они состоят на воинском учете, в следующие сроки:</w:t>
            </w:r>
          </w:p>
          <w:p w:rsidR="00321925" w:rsidRPr="00A90002" w:rsidRDefault="00321925" w:rsidP="000B7AB4">
            <w:pPr>
              <w:pStyle w:val="a3"/>
              <w:spacing w:after="0"/>
              <w:ind w:firstLine="459"/>
              <w:jc w:val="both"/>
              <w:rPr>
                <w:snapToGrid w:val="0"/>
              </w:rPr>
            </w:pPr>
            <w:r w:rsidRPr="00A90002">
              <w:rPr>
                <w:snapToGrid w:val="0"/>
              </w:rPr>
              <w:t>до 1 апреля - граждане, которые должны быть призваны на военную службу в октябре - декабре текущего года;</w:t>
            </w:r>
          </w:p>
          <w:p w:rsidR="00321925" w:rsidRPr="00A90002" w:rsidRDefault="00321925" w:rsidP="000B7AB4">
            <w:pPr>
              <w:pStyle w:val="a3"/>
              <w:spacing w:after="0"/>
              <w:ind w:firstLine="459"/>
              <w:jc w:val="both"/>
              <w:rPr>
                <w:snapToGrid w:val="0"/>
              </w:rPr>
            </w:pPr>
            <w:r w:rsidRPr="00A90002">
              <w:rPr>
                <w:snapToGrid w:val="0"/>
              </w:rPr>
              <w:t>до 1 октября - граждане, которые должны быть призваны на военную службу в апреле - июне следующего года.</w:t>
            </w:r>
          </w:p>
          <w:p w:rsidR="00321925" w:rsidRPr="00A90002" w:rsidRDefault="00321925" w:rsidP="000B7AB4">
            <w:pPr>
              <w:pStyle w:val="a3"/>
              <w:spacing w:after="0"/>
              <w:ind w:firstLine="459"/>
              <w:jc w:val="both"/>
              <w:rPr>
                <w:snapToGrid w:val="0"/>
              </w:rPr>
            </w:pPr>
            <w:r w:rsidRPr="00A90002">
              <w:rPr>
                <w:snapToGrid w:val="0"/>
              </w:rPr>
              <w:t>Для рассмотрения вопроса замены военной службы по призыву альтернативной гражданской службой необходимо лично прибыть на призывную комиссию по месту воинского учета в военный комиссариат.</w:t>
            </w:r>
          </w:p>
          <w:p w:rsidR="00321925" w:rsidRPr="00A90002" w:rsidRDefault="00321925" w:rsidP="000B7AB4">
            <w:pPr>
              <w:pStyle w:val="a3"/>
              <w:spacing w:after="0"/>
              <w:ind w:firstLine="459"/>
              <w:jc w:val="both"/>
              <w:rPr>
                <w:snapToGrid w:val="0"/>
              </w:rPr>
            </w:pPr>
            <w:r w:rsidRPr="00A90002">
              <w:rPr>
                <w:snapToGrid w:val="0"/>
              </w:rPr>
              <w:t>Призывная комиссия рассматривает доводы гражданина о том, что несение военной службы противоречит его убеждениям или вероисповеданию, на основании:</w:t>
            </w:r>
          </w:p>
          <w:p w:rsidR="00321925" w:rsidRPr="00A90002" w:rsidRDefault="00321925" w:rsidP="000B7AB4">
            <w:pPr>
              <w:pStyle w:val="a3"/>
              <w:spacing w:after="0"/>
              <w:ind w:firstLine="459"/>
              <w:jc w:val="both"/>
              <w:rPr>
                <w:snapToGrid w:val="0"/>
              </w:rPr>
            </w:pPr>
            <w:r w:rsidRPr="00A90002">
              <w:rPr>
                <w:snapToGrid w:val="0"/>
              </w:rPr>
              <w:t>выступлений на заседании призывной комиссии гражданина, а также лиц, которые согласились подтвердить достоверность его доводов о том, что несение военной службы противоречит его убеждениям или вероисповеданию;</w:t>
            </w:r>
          </w:p>
          <w:p w:rsidR="00321925" w:rsidRPr="00A90002" w:rsidRDefault="00321925" w:rsidP="000B7AB4">
            <w:pPr>
              <w:pStyle w:val="a3"/>
              <w:spacing w:after="0"/>
              <w:ind w:firstLine="459"/>
              <w:jc w:val="both"/>
              <w:rPr>
                <w:snapToGrid w:val="0"/>
              </w:rPr>
            </w:pPr>
            <w:r w:rsidRPr="00A90002">
              <w:rPr>
                <w:snapToGrid w:val="0"/>
              </w:rPr>
              <w:t>анализа документов, представленных гражданином;</w:t>
            </w:r>
          </w:p>
          <w:p w:rsidR="00321925" w:rsidRPr="00A90002" w:rsidRDefault="00321925" w:rsidP="000B7AB4">
            <w:pPr>
              <w:pStyle w:val="a3"/>
              <w:spacing w:after="0"/>
              <w:ind w:firstLine="459"/>
              <w:jc w:val="both"/>
              <w:rPr>
                <w:snapToGrid w:val="0"/>
              </w:rPr>
            </w:pPr>
            <w:r w:rsidRPr="00A90002">
              <w:rPr>
                <w:snapToGrid w:val="0"/>
              </w:rPr>
              <w:t>анализа дополнительных материалов, полученных призывной комиссией.</w:t>
            </w:r>
          </w:p>
          <w:p w:rsidR="00321925" w:rsidRPr="00A90002" w:rsidRDefault="00321925" w:rsidP="000B7AB4">
            <w:pPr>
              <w:pStyle w:val="a3"/>
              <w:spacing w:after="0"/>
              <w:ind w:firstLine="459"/>
              <w:jc w:val="both"/>
              <w:rPr>
                <w:snapToGrid w:val="0"/>
              </w:rPr>
            </w:pPr>
            <w:r w:rsidRPr="00A90002">
              <w:rPr>
                <w:snapToGrid w:val="0"/>
              </w:rPr>
              <w:t>Гражданину может быть отказано в замене военной службы по призыву альтернативной гражданской службой в случаях, если:</w:t>
            </w:r>
          </w:p>
          <w:p w:rsidR="00321925" w:rsidRPr="00A90002" w:rsidRDefault="00321925" w:rsidP="000B7AB4">
            <w:pPr>
              <w:pStyle w:val="a3"/>
              <w:spacing w:after="0"/>
              <w:ind w:firstLine="459"/>
              <w:jc w:val="both"/>
              <w:rPr>
                <w:snapToGrid w:val="0"/>
              </w:rPr>
            </w:pPr>
            <w:r w:rsidRPr="00A90002">
              <w:rPr>
                <w:snapToGrid w:val="0"/>
              </w:rPr>
              <w:t>он нарушил срок и (или) порядок подачи заявления о замене военной службы по призыву альтернативной гражданской службой, определяемые статьей 11 настоящего Федерального закона и положением о порядке прохождения альтернативной гражданской службы;</w:t>
            </w:r>
          </w:p>
          <w:p w:rsidR="00321925" w:rsidRPr="00A90002" w:rsidRDefault="00321925" w:rsidP="000B7AB4">
            <w:pPr>
              <w:pStyle w:val="a3"/>
              <w:spacing w:after="0"/>
              <w:ind w:firstLine="459"/>
              <w:jc w:val="both"/>
              <w:rPr>
                <w:snapToGrid w:val="0"/>
              </w:rPr>
            </w:pPr>
            <w:r w:rsidRPr="00A90002">
              <w:rPr>
                <w:snapToGrid w:val="0"/>
              </w:rPr>
              <w:t>характеризующие его документы и другие данные не соответствуют доводам гражданина о том, что несение военной службы противоречит его убеждениям или вероисповеданию;</w:t>
            </w:r>
          </w:p>
          <w:p w:rsidR="00321925" w:rsidRPr="00A90002" w:rsidRDefault="00321925" w:rsidP="000B7AB4">
            <w:pPr>
              <w:pStyle w:val="a3"/>
              <w:spacing w:after="0"/>
              <w:ind w:firstLine="459"/>
              <w:jc w:val="both"/>
              <w:rPr>
                <w:snapToGrid w:val="0"/>
              </w:rPr>
            </w:pPr>
            <w:r w:rsidRPr="00A90002">
              <w:rPr>
                <w:snapToGrid w:val="0"/>
              </w:rPr>
              <w:lastRenderedPageBreak/>
              <w:t>в заявлении гражданина о замене военной службы по призыву альтернативной гражданской службой и прилагаемых к нему документах указаны заведомо ложные сведения;</w:t>
            </w:r>
          </w:p>
          <w:p w:rsidR="00321925" w:rsidRPr="00A90002" w:rsidRDefault="00321925" w:rsidP="000B7AB4">
            <w:pPr>
              <w:pStyle w:val="a3"/>
              <w:spacing w:after="0"/>
              <w:ind w:firstLine="459"/>
              <w:jc w:val="both"/>
              <w:rPr>
                <w:snapToGrid w:val="0"/>
              </w:rPr>
            </w:pPr>
            <w:r w:rsidRPr="00A90002">
              <w:rPr>
                <w:snapToGrid w:val="0"/>
              </w:rPr>
              <w:t>он дважды вызывался на заседания призывной комиссии и не являлся на них без уважительной причины;</w:t>
            </w:r>
          </w:p>
          <w:p w:rsidR="00321925" w:rsidRPr="00A90002" w:rsidRDefault="00321925" w:rsidP="000B7AB4">
            <w:pPr>
              <w:pStyle w:val="a3"/>
              <w:spacing w:after="0"/>
              <w:ind w:firstLine="459"/>
              <w:jc w:val="both"/>
              <w:rPr>
                <w:snapToGrid w:val="0"/>
              </w:rPr>
            </w:pPr>
            <w:r w:rsidRPr="00A90002">
              <w:rPr>
                <w:snapToGrid w:val="0"/>
              </w:rPr>
              <w:t>ранее ему была предоставлена возможность пройти альтернативную гражданскую службу, и он от нее уклонился.</w:t>
            </w:r>
          </w:p>
          <w:p w:rsidR="00321925" w:rsidRPr="00A90002" w:rsidRDefault="00321925" w:rsidP="000B7AB4">
            <w:pPr>
              <w:pStyle w:val="a3"/>
              <w:spacing w:after="0"/>
              <w:ind w:firstLine="459"/>
              <w:jc w:val="both"/>
              <w:rPr>
                <w:snapToGrid w:val="0"/>
              </w:rPr>
            </w:pPr>
            <w:r w:rsidRPr="00A90002">
              <w:rPr>
                <w:snapToGrid w:val="0"/>
              </w:rPr>
              <w:t>Копия решения призывной комиссии должна быть выдана гражданину в трехдневный срок со дня принятия решения.</w:t>
            </w:r>
          </w:p>
          <w:p w:rsidR="00321925" w:rsidRPr="00A90002" w:rsidRDefault="00321925" w:rsidP="000B7AB4">
            <w:pPr>
              <w:spacing w:after="0"/>
              <w:ind w:firstLine="459"/>
              <w:jc w:val="both"/>
              <w:rPr>
                <w:rFonts w:cs="Times New Roman"/>
                <w:snapToGrid w:val="0"/>
                <w:sz w:val="24"/>
                <w:szCs w:val="24"/>
              </w:rPr>
            </w:pPr>
            <w:r w:rsidRPr="00A90002">
              <w:rPr>
                <w:rFonts w:cs="Times New Roman"/>
                <w:snapToGrid w:val="0"/>
                <w:sz w:val="24"/>
                <w:szCs w:val="24"/>
              </w:rPr>
              <w:t>Решение призывной комиссии об отказе в замене военной службы по призыву альтернативной гражданской службой может быть обжаловано Вами в суд в порядке, установленном законодательством Российской Федерации.</w:t>
            </w:r>
          </w:p>
        </w:tc>
      </w:tr>
      <w:tr w:rsidR="00321925" w:rsidRPr="00A90002" w:rsidTr="000B7AB4">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jc w:val="center"/>
              <w:rPr>
                <w:rFonts w:cs="Times New Roman"/>
                <w:b/>
                <w:sz w:val="24"/>
                <w:szCs w:val="24"/>
              </w:rPr>
            </w:pPr>
            <w:r w:rsidRPr="00A90002">
              <w:rPr>
                <w:rFonts w:cs="Times New Roman"/>
                <w:b/>
                <w:sz w:val="24"/>
                <w:szCs w:val="24"/>
              </w:rPr>
              <w:t>Как стать военнослужащим по контракту в Вооруженных Силах России?</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1925" w:rsidRPr="00A90002" w:rsidRDefault="00321925" w:rsidP="000B7AB4">
            <w:pPr>
              <w:spacing w:after="0"/>
              <w:ind w:firstLine="459"/>
              <w:jc w:val="both"/>
              <w:rPr>
                <w:rFonts w:cs="Times New Roman"/>
                <w:sz w:val="24"/>
                <w:szCs w:val="24"/>
              </w:rPr>
            </w:pPr>
            <w:r w:rsidRPr="00A90002">
              <w:rPr>
                <w:rFonts w:cs="Times New Roman"/>
                <w:sz w:val="24"/>
                <w:szCs w:val="24"/>
              </w:rPr>
              <w:t>Порядок отбора кандидатов из числа граждан на военную службу по контракту определен статьей 5 Положения о порядке прохождения военной службы, утвержденного Указом Президента РФ от 16.09.1999 № 1237.</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В соответствии с пунктом 4 статьи 8 Положения о порядке прохождения военной службы, утвержденного Указом Президента РФ от 16.09.1999 № 1237, граждане женского пола также могут быть приняты на военную службу по контракту при наличии вакантных воинских должностей, подлежащих замещению военнослужащими женского пола.</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Воинские должности, которые могут замещаться военнослужащими женского пола, определяются Министром обороны Российской Федерации.</w:t>
            </w:r>
          </w:p>
          <w:p w:rsidR="00321925" w:rsidRPr="00A90002" w:rsidRDefault="00321925" w:rsidP="000B7AB4">
            <w:pPr>
              <w:spacing w:after="0"/>
              <w:ind w:firstLine="459"/>
              <w:jc w:val="both"/>
              <w:rPr>
                <w:rFonts w:cs="Times New Roman"/>
                <w:sz w:val="24"/>
                <w:szCs w:val="24"/>
              </w:rPr>
            </w:pPr>
            <w:proofErr w:type="gramStart"/>
            <w:r w:rsidRPr="00A90002">
              <w:rPr>
                <w:rFonts w:cs="Times New Roman"/>
                <w:sz w:val="24"/>
                <w:szCs w:val="24"/>
              </w:rPr>
              <w:t>Отбор граждан, изъявивших желание поступить на военную службу по контракту, осуществляется отделом военного комиссариата субъекта Российской Федерации по муниципальному образованию, а определение соответствия отобранных граждан установленным требованиям осуществляется комиссией отдела военного комиссариата субъекта Российской Федерации по муниципальному образованию по отбору кандидатов, поступающих на военную службу по контракту, назначаемой приказом начальника отдела военного комиссариата субъекта Российской Федерации по муниципальному образованию.</w:t>
            </w:r>
            <w:proofErr w:type="gramEnd"/>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В отделе военного комиссариата субъекта Российской Федерации по муниципальному образованию (воинской части) заявление регистрируется и с этого момента подавшие заявление становятся кандидатом для прохождения военной службы по контракту. </w:t>
            </w:r>
            <w:proofErr w:type="gramStart"/>
            <w:r w:rsidRPr="00A90002">
              <w:rPr>
                <w:rFonts w:cs="Times New Roman"/>
                <w:sz w:val="24"/>
                <w:szCs w:val="24"/>
              </w:rPr>
              <w:t xml:space="preserve">После чего </w:t>
            </w:r>
            <w:r w:rsidRPr="00A90002">
              <w:rPr>
                <w:rFonts w:cs="Times New Roman"/>
                <w:sz w:val="24"/>
                <w:szCs w:val="24"/>
              </w:rPr>
              <w:lastRenderedPageBreak/>
              <w:t>с кандидатами проводятся мероприятия по установлению их соответствия требованиям, установленным для поступающих на военную службу по контракту на воинские должности рядового и сержантского состава.</w:t>
            </w:r>
            <w:proofErr w:type="gramEnd"/>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Начальник отдела военного комиссариата субъекта Российской Федерации по муниципальному образованию рассматривает принятые заявления и дает указания:</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о проведении медицинского освидетельствования;</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о проведении с ними мероприятий по профессиональному психологическому отбору;</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 о проверке соответствия уровня их образования, профессиональной и физической подготовки требованиям, установленным </w:t>
            </w:r>
            <w:proofErr w:type="gramStart"/>
            <w:r w:rsidRPr="00A90002">
              <w:rPr>
                <w:rFonts w:cs="Times New Roman"/>
                <w:sz w:val="24"/>
                <w:szCs w:val="24"/>
              </w:rPr>
              <w:t>для</w:t>
            </w:r>
            <w:proofErr w:type="gramEnd"/>
            <w:r w:rsidRPr="00A90002">
              <w:rPr>
                <w:rFonts w:cs="Times New Roman"/>
                <w:sz w:val="24"/>
                <w:szCs w:val="24"/>
              </w:rPr>
              <w:t xml:space="preserve"> поступающих на военную службу по контракту;</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о рассмотрении их кандидатур комиссией военного комиссариата по отбору граждан, поступающих на военную службу по контракту.</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Медицинское освидетельствование кандидатов проводится в соответствии с Положением о военно-врачебной экспертизе, утвержденным постановлением Правительства Российской Федерации от 04.07.2013 № 565 «Об утверждении Положения о военно-врачебной экспертизе».</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При отказе от обследования военно-врачебная комиссия выносит заключение: «Не </w:t>
            </w:r>
            <w:proofErr w:type="gramStart"/>
            <w:r w:rsidRPr="00A90002">
              <w:rPr>
                <w:rFonts w:cs="Times New Roman"/>
                <w:sz w:val="24"/>
                <w:szCs w:val="24"/>
              </w:rPr>
              <w:t>годен</w:t>
            </w:r>
            <w:proofErr w:type="gramEnd"/>
            <w:r w:rsidRPr="00A90002">
              <w:rPr>
                <w:rFonts w:cs="Times New Roman"/>
                <w:sz w:val="24"/>
                <w:szCs w:val="24"/>
              </w:rPr>
              <w:t xml:space="preserve"> к поступлению на военную службу по контракту».</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По результатам медицинского освидетельствования дается заключение о годности кандидата к военной службе по следующим категориям:</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А - </w:t>
            </w:r>
            <w:proofErr w:type="gramStart"/>
            <w:r w:rsidRPr="00A90002">
              <w:rPr>
                <w:rFonts w:cs="Times New Roman"/>
                <w:sz w:val="24"/>
                <w:szCs w:val="24"/>
              </w:rPr>
              <w:t>годен</w:t>
            </w:r>
            <w:proofErr w:type="gramEnd"/>
            <w:r w:rsidRPr="00A90002">
              <w:rPr>
                <w:rFonts w:cs="Times New Roman"/>
                <w:sz w:val="24"/>
                <w:szCs w:val="24"/>
              </w:rPr>
              <w:t xml:space="preserve"> к военной службе;</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Б - </w:t>
            </w:r>
            <w:proofErr w:type="gramStart"/>
            <w:r w:rsidRPr="00A90002">
              <w:rPr>
                <w:rFonts w:cs="Times New Roman"/>
                <w:sz w:val="24"/>
                <w:szCs w:val="24"/>
              </w:rPr>
              <w:t>годен</w:t>
            </w:r>
            <w:proofErr w:type="gramEnd"/>
            <w:r w:rsidRPr="00A90002">
              <w:rPr>
                <w:rFonts w:cs="Times New Roman"/>
                <w:sz w:val="24"/>
                <w:szCs w:val="24"/>
              </w:rPr>
              <w:t xml:space="preserve"> к военной службе с незначительными ограничениями;</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В - ограниченно </w:t>
            </w:r>
            <w:proofErr w:type="gramStart"/>
            <w:r w:rsidRPr="00A90002">
              <w:rPr>
                <w:rFonts w:cs="Times New Roman"/>
                <w:sz w:val="24"/>
                <w:szCs w:val="24"/>
              </w:rPr>
              <w:t>годен</w:t>
            </w:r>
            <w:proofErr w:type="gramEnd"/>
            <w:r w:rsidRPr="00A90002">
              <w:rPr>
                <w:rFonts w:cs="Times New Roman"/>
                <w:sz w:val="24"/>
                <w:szCs w:val="24"/>
              </w:rPr>
              <w:t xml:space="preserve"> к военной службе;</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Г - временно </w:t>
            </w:r>
            <w:proofErr w:type="gramStart"/>
            <w:r w:rsidRPr="00A90002">
              <w:rPr>
                <w:rFonts w:cs="Times New Roman"/>
                <w:sz w:val="24"/>
                <w:szCs w:val="24"/>
              </w:rPr>
              <w:t>негоден</w:t>
            </w:r>
            <w:proofErr w:type="gramEnd"/>
            <w:r w:rsidRPr="00A90002">
              <w:rPr>
                <w:rFonts w:cs="Times New Roman"/>
                <w:sz w:val="24"/>
                <w:szCs w:val="24"/>
              </w:rPr>
              <w:t xml:space="preserve"> к военной службе;</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Д - </w:t>
            </w:r>
            <w:proofErr w:type="gramStart"/>
            <w:r w:rsidRPr="00A90002">
              <w:rPr>
                <w:rFonts w:cs="Times New Roman"/>
                <w:sz w:val="24"/>
                <w:szCs w:val="24"/>
              </w:rPr>
              <w:t>негоден</w:t>
            </w:r>
            <w:proofErr w:type="gramEnd"/>
            <w:r w:rsidRPr="00A90002">
              <w:rPr>
                <w:rFonts w:cs="Times New Roman"/>
                <w:sz w:val="24"/>
                <w:szCs w:val="24"/>
              </w:rPr>
              <w:t xml:space="preserve"> к военной службе.</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В соответствии с пунктом 2 статьи 33 Федерального закона от 28.03.1998 № 53-ФЗ «О воинской обязанности и военной службе» на военную службу по контракту может быть принят гражданин, признанный годным к военной службе или годным к военной службе с незначительными ограничениями.</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С кандидатами, признанными по состоянию здоровья годными к военной службе или годными к военной службе с незначительными ограничениями, профессиональная </w:t>
            </w:r>
            <w:r w:rsidRPr="00A90002">
              <w:rPr>
                <w:rFonts w:cs="Times New Roman"/>
                <w:sz w:val="24"/>
                <w:szCs w:val="24"/>
              </w:rPr>
              <w:lastRenderedPageBreak/>
              <w:t>подготовленность которых соответствует квалификационным требованиям по избираемым ими воинским должностям (ВУС), проводятся мероприятия по профессиональному психологическому отбору.</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Мероприятия по профессиональному психологическому отбору проводятся специалистами </w:t>
            </w:r>
            <w:proofErr w:type="gramStart"/>
            <w:r w:rsidRPr="00A90002">
              <w:rPr>
                <w:rFonts w:cs="Times New Roman"/>
                <w:sz w:val="24"/>
                <w:szCs w:val="24"/>
              </w:rPr>
              <w:t>по профессиональному психологическому отбору в соответствии с Руководством по профессиональному психологическому отбору в Вооруженных Силах</w:t>
            </w:r>
            <w:proofErr w:type="gramEnd"/>
            <w:r w:rsidRPr="00A90002">
              <w:rPr>
                <w:rFonts w:cs="Times New Roman"/>
                <w:sz w:val="24"/>
                <w:szCs w:val="24"/>
              </w:rPr>
              <w:t>, утвержденным приказом Министра обороны РФ от 26.01.2000 № 50.</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При проведении профессионального психологического отбора оцениваются уровень интеллектуального развития, психологическая готовность к прохождению военной службы, быстрота мышления, коммуникабельность и </w:t>
            </w:r>
            <w:proofErr w:type="gramStart"/>
            <w:r w:rsidRPr="00A90002">
              <w:rPr>
                <w:rFonts w:cs="Times New Roman"/>
                <w:sz w:val="24"/>
                <w:szCs w:val="24"/>
              </w:rPr>
              <w:t>другие</w:t>
            </w:r>
            <w:proofErr w:type="gramEnd"/>
            <w:r w:rsidRPr="00A90002">
              <w:rPr>
                <w:rFonts w:cs="Times New Roman"/>
                <w:sz w:val="24"/>
                <w:szCs w:val="24"/>
              </w:rPr>
              <w:t xml:space="preserve"> профессионально важные для военной службы качества обследуемых граждан. Мероприятия по профессиональному психологическому отбору проводится с использованием методов социально-психологического изучения, психологического и психофизиологического обследования. </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Кандидат должен также соответствовать требованиям, предъявляемым </w:t>
            </w:r>
            <w:proofErr w:type="gramStart"/>
            <w:r w:rsidRPr="00A90002">
              <w:rPr>
                <w:rFonts w:cs="Times New Roman"/>
                <w:sz w:val="24"/>
                <w:szCs w:val="24"/>
              </w:rPr>
              <w:t>к</w:t>
            </w:r>
            <w:proofErr w:type="gramEnd"/>
            <w:r w:rsidRPr="00A90002">
              <w:rPr>
                <w:rFonts w:cs="Times New Roman"/>
                <w:sz w:val="24"/>
                <w:szCs w:val="24"/>
              </w:rPr>
              <w:t xml:space="preserve"> поступающим на военную службу по контракту, по уровню образования, профессиональной и физической подготовки.</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Проверка соответствия уровня образования и профессиональной подготовки кандидата данным требованиям осуществляется с учетом требований Федерального закона от 10.07.1992 № 3266-1 «Об образовании» и Справочника должностей солдат, матросов, сержантов и старшин, проходящих военную службу по контракту, разработанный 178 Научно-практическим центром Генерального штаба Вооруженных Сил РФ в 2008 году.</w:t>
            </w:r>
          </w:p>
          <w:p w:rsidR="00321925" w:rsidRPr="00A90002" w:rsidRDefault="00321925" w:rsidP="000B7AB4">
            <w:pPr>
              <w:spacing w:after="0"/>
              <w:ind w:firstLine="459"/>
              <w:jc w:val="both"/>
              <w:rPr>
                <w:rFonts w:cs="Times New Roman"/>
                <w:sz w:val="24"/>
                <w:szCs w:val="24"/>
              </w:rPr>
            </w:pPr>
            <w:proofErr w:type="gramStart"/>
            <w:r w:rsidRPr="00A90002">
              <w:rPr>
                <w:rFonts w:cs="Times New Roman"/>
                <w:sz w:val="24"/>
                <w:szCs w:val="24"/>
              </w:rPr>
              <w:t>В соответствии со статьями 9 и 260 Наставления по физической подготовке в Вооруженных Силах РФ, утвержденного приказом Министра обороны РФ от 21.04.2009 № 200, физическая подготовленность граждан, поступающих на военную службу по контракту, оценивается по результатам и условиям выполнения минимальных требований трех упражнений, которые выполняются, как правило, в спортивной форме одежды в течение одного дня согласно приложению № 17 к указанному Наставлению.</w:t>
            </w:r>
            <w:proofErr w:type="gramEnd"/>
          </w:p>
          <w:p w:rsidR="00321925" w:rsidRPr="00A90002" w:rsidRDefault="00321925" w:rsidP="000B7AB4">
            <w:pPr>
              <w:spacing w:after="0"/>
              <w:ind w:firstLine="459"/>
              <w:jc w:val="both"/>
              <w:rPr>
                <w:rFonts w:cs="Times New Roman"/>
                <w:sz w:val="24"/>
                <w:szCs w:val="24"/>
              </w:rPr>
            </w:pPr>
            <w:proofErr w:type="gramStart"/>
            <w:r w:rsidRPr="00A90002">
              <w:rPr>
                <w:rFonts w:cs="Times New Roman"/>
                <w:sz w:val="24"/>
                <w:szCs w:val="24"/>
              </w:rPr>
              <w:t>В случае невыполнения минимального норматива в одном из упражнений требования к поступающим на военную службу</w:t>
            </w:r>
            <w:proofErr w:type="gramEnd"/>
            <w:r w:rsidRPr="00A90002">
              <w:rPr>
                <w:rFonts w:cs="Times New Roman"/>
                <w:sz w:val="24"/>
                <w:szCs w:val="24"/>
              </w:rPr>
              <w:t xml:space="preserve"> по контракту считаются невыполненными. </w:t>
            </w:r>
          </w:p>
          <w:p w:rsidR="00321925" w:rsidRPr="00A90002" w:rsidRDefault="00321925" w:rsidP="000B7AB4">
            <w:pPr>
              <w:spacing w:after="0"/>
              <w:ind w:firstLine="459"/>
              <w:jc w:val="both"/>
              <w:rPr>
                <w:rFonts w:cs="Times New Roman"/>
                <w:sz w:val="24"/>
                <w:szCs w:val="24"/>
              </w:rPr>
            </w:pPr>
            <w:proofErr w:type="gramStart"/>
            <w:r w:rsidRPr="00A90002">
              <w:rPr>
                <w:rFonts w:cs="Times New Roman"/>
                <w:sz w:val="24"/>
                <w:szCs w:val="24"/>
              </w:rPr>
              <w:lastRenderedPageBreak/>
              <w:t>Кандидат, признанный комиссией отдела военного комиссариата субъекта Российской Федерации по муниципальному образованию по отбору кандидатов соответствующим требованиям, установленным для поступающих на военную службу по контракту, направляется в воинскую часть для заключения контракта.</w:t>
            </w:r>
            <w:proofErr w:type="gramEnd"/>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Граждане, обратившиеся с заявлением о поступлении на военную службу по контракту непосредственно в воинскую часть, после рассмотрения их кандидатур направляются для проведения отбора и оформления документов в отдел военного комиссариата субъекта Российской Федерации по муниципальному образованию по месту жительства. На такого кандидата оформляется запрос на имя </w:t>
            </w:r>
            <w:proofErr w:type="gramStart"/>
            <w:r w:rsidRPr="00A90002">
              <w:rPr>
                <w:rFonts w:cs="Times New Roman"/>
                <w:sz w:val="24"/>
                <w:szCs w:val="24"/>
              </w:rPr>
              <w:t>начальника отдела военного комиссариата субъекта Российской Федерации</w:t>
            </w:r>
            <w:proofErr w:type="gramEnd"/>
            <w:r w:rsidRPr="00A90002">
              <w:rPr>
                <w:rFonts w:cs="Times New Roman"/>
                <w:sz w:val="24"/>
                <w:szCs w:val="24"/>
              </w:rPr>
              <w:t xml:space="preserve"> по муниципальному образованию, который подписывается командиром воинской части, с указанием всех необходимых данных.</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По согласованию с отделом военного комиссариата субъекта Российской Федерации по муниципальному образованию воинские части могут самостоятельно проводить мероприятия по отбору граждан на военную службу по контракту.</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Кандидатуры граждан, прибывших для заключения контракта в воинскую часть, рассматриваются командиром воинской части.</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При необходимости по решению командира воинской части кандидат может быть направлен для прохождения медицинского освидетельствования, проведения с ними мероприятий по профессиональному психологическому отбору, проверки уровня их образования, профессиональной и физической подготовки и рассмотрения их кандидатур аттестационной комиссией воинской части в целях решения вопроса о заключении с ними контракта. </w:t>
            </w:r>
          </w:p>
          <w:p w:rsidR="00321925" w:rsidRPr="00A90002" w:rsidRDefault="00321925" w:rsidP="000B7AB4">
            <w:pPr>
              <w:spacing w:after="0"/>
              <w:ind w:firstLine="459"/>
              <w:jc w:val="both"/>
              <w:rPr>
                <w:rFonts w:cs="Times New Roman"/>
                <w:sz w:val="24"/>
                <w:szCs w:val="24"/>
              </w:rPr>
            </w:pPr>
            <w:r w:rsidRPr="00A90002">
              <w:rPr>
                <w:rFonts w:cs="Times New Roman"/>
                <w:sz w:val="24"/>
                <w:szCs w:val="24"/>
              </w:rPr>
              <w:t xml:space="preserve">Пункт набора контрактников в г. Туле: начальник пункта – </w:t>
            </w:r>
            <w:proofErr w:type="spellStart"/>
            <w:r w:rsidRPr="00A90002">
              <w:rPr>
                <w:rFonts w:cs="Times New Roman"/>
                <w:sz w:val="24"/>
                <w:szCs w:val="24"/>
              </w:rPr>
              <w:t>Цепков</w:t>
            </w:r>
            <w:proofErr w:type="spellEnd"/>
            <w:r w:rsidRPr="00A90002">
              <w:rPr>
                <w:rFonts w:cs="Times New Roman"/>
                <w:sz w:val="24"/>
                <w:szCs w:val="24"/>
              </w:rPr>
              <w:t xml:space="preserve"> Борис Александрович, контактные телефоны: (+74872) 56-19-90, 56-70-62; электронная почта: Povsk-tula@mil.ru.</w:t>
            </w:r>
          </w:p>
        </w:tc>
      </w:tr>
    </w:tbl>
    <w:p w:rsidR="00761980" w:rsidRDefault="00761980">
      <w:bookmarkStart w:id="0" w:name="_GoBack"/>
      <w:bookmarkEnd w:id="0"/>
    </w:p>
    <w:sectPr w:rsidR="00761980" w:rsidSect="003219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25"/>
    <w:rsid w:val="00321925"/>
    <w:rsid w:val="00761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1925"/>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3219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2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21925"/>
    <w:pPr>
      <w:spacing w:after="120" w:line="240" w:lineRule="auto"/>
    </w:pPr>
    <w:rPr>
      <w:rFonts w:eastAsia="Times New Roman" w:cs="Times New Roman"/>
      <w:sz w:val="24"/>
      <w:szCs w:val="24"/>
      <w:lang w:eastAsia="ru-RU"/>
    </w:rPr>
  </w:style>
  <w:style w:type="character" w:customStyle="1" w:styleId="a4">
    <w:name w:val="Основной текст Знак"/>
    <w:basedOn w:val="a0"/>
    <w:link w:val="a3"/>
    <w:rsid w:val="003219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2019-07-19T12:06:00Z</dcterms:created>
  <dcterms:modified xsi:type="dcterms:W3CDTF">2019-07-19T12:07:00Z</dcterms:modified>
</cp:coreProperties>
</file>