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5A6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6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22  </w:t>
            </w:r>
            <w:bookmarkStart w:id="0" w:name="_GoBack"/>
            <w:bookmarkEnd w:id="0"/>
            <w:r w:rsidR="00406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марта  </w:t>
            </w:r>
            <w:r w:rsidR="00A1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06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95EDA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2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30.10.2017 года №188 </w:t>
      </w:r>
    </w:p>
    <w:p w:rsidR="00FB41F2" w:rsidRPr="00274C09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 w:rsidR="00FB41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2018-2022 годы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B41F2" w:rsidRPr="003F5C46" w:rsidRDefault="00FB41F2" w:rsidP="00FB41F2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A10625" w:rsidRDefault="00FB41F2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 МО Яснополянское Щекинского района</w:t>
      </w:r>
      <w:r w:rsidR="00A10625"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от 30.10.2017 года №188</w:t>
      </w:r>
      <w:r w:rsidR="00A10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C072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C0727" w:rsidRPr="00CC072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727">
        <w:rPr>
          <w:rFonts w:ascii="Arial" w:eastAsia="Times New Roman" w:hAnsi="Arial" w:cs="Arial"/>
          <w:sz w:val="24"/>
          <w:szCs w:val="24"/>
          <w:lang w:eastAsia="ru-RU"/>
        </w:rPr>
        <w:t>утверждении муниципальной программы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 на 2018 -2022 годы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10625" w:rsidRPr="00A10625" w:rsidRDefault="00157E74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названии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 цифры «2018-2022 год» заменить на «2018-2024 год»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eastAsia="Times New Roman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A10625">
        <w:rPr>
          <w:rFonts w:ascii="Arial" w:eastAsia="Times New Roman" w:hAnsi="Arial" w:cs="Arial"/>
          <w:sz w:val="24"/>
          <w:szCs w:val="24"/>
        </w:rPr>
        <w:t>Головеньковский</w:t>
      </w:r>
      <w:proofErr w:type="spellEnd"/>
      <w:r w:rsidRPr="00A10625">
        <w:rPr>
          <w:rFonts w:ascii="Arial" w:eastAsia="Times New Roman" w:hAnsi="Arial" w:cs="Arial"/>
          <w:sz w:val="24"/>
          <w:szCs w:val="24"/>
        </w:rPr>
        <w:t>, ул. Пчеловодов, д.9.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A10625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1B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471B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</w:t>
      </w:r>
      <w:r w:rsidR="00310813">
        <w:rPr>
          <w:rFonts w:ascii="Arial" w:eastAsia="Times New Roman" w:hAnsi="Arial" w:cs="Arial"/>
          <w:bCs/>
          <w:sz w:val="24"/>
          <w:szCs w:val="24"/>
          <w:lang w:eastAsia="ru-RU"/>
        </w:rPr>
        <w:t>.2017</w:t>
      </w:r>
      <w:r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№188 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FB41F2" w:rsidRPr="00A10625" w:rsidRDefault="00406B17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A66F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22.03.</w:t>
      </w:r>
      <w:r w:rsidR="005A66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10813">
        <w:rPr>
          <w:rFonts w:ascii="Arial" w:eastAsia="Times New Roman" w:hAnsi="Arial" w:cs="Arial"/>
          <w:bCs/>
          <w:sz w:val="24"/>
          <w:szCs w:val="24"/>
          <w:lang w:eastAsia="ru-RU"/>
        </w:rPr>
        <w:t>2019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№54</w:t>
      </w: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 w:rsidR="00F1547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2018-2024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 w:rsidR="004D2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2018-2024</w:t>
            </w:r>
            <w:r w:rsidR="00447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площади благоустроенных территорий общего пользования по отношению к общей площади  территорий общего пользования, нуждающихся в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FB41F2" w:rsidRPr="003F5C46" w:rsidRDefault="00A10625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2024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10251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102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Раздел 1. Характеристика текущего состояния сферы благоустройства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Щекинского района.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  имеется  21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дворовая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 ремонтировались.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нет дворовых территорий, которые можно отнести к полностью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благоустроенным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Общее количество общественных территорий муниципального образования составляет 2 единиц. Из них полностью благоустроенных – 0 единиц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0%).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Площадь благоустроенных общественных территорий, приходящихся на 1 жителя муниципального образования 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 w:rsidR="0010251E"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а также дворовых территорий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</w:t>
      </w:r>
      <w:r w:rsidR="005A66F4">
        <w:rPr>
          <w:rFonts w:ascii="Arial" w:hAnsi="Arial" w:cs="Arial"/>
          <w:sz w:val="24"/>
          <w:szCs w:val="24"/>
          <w:lang w:eastAsia="ru-RU"/>
        </w:rPr>
        <w:t xml:space="preserve">ественных пространств: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площадей, пешеходных улиц и зон, скверов и парков, рекреационных территорий, набережных.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комплексность благоустройства дворовых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406B17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A66F4" w:rsidRPr="00406B17">
        <w:rPr>
          <w:rFonts w:ascii="Arial" w:hAnsi="Arial" w:cs="Arial"/>
          <w:sz w:val="24"/>
          <w:szCs w:val="24"/>
          <w:lang w:eastAsia="ru-RU"/>
        </w:rPr>
        <w:t xml:space="preserve">приложении </w:t>
      </w:r>
      <w:r w:rsidRPr="00406B17">
        <w:rPr>
          <w:rFonts w:ascii="Arial" w:hAnsi="Arial" w:cs="Arial"/>
          <w:sz w:val="24"/>
          <w:szCs w:val="24"/>
          <w:lang w:eastAsia="ru-RU"/>
        </w:rPr>
        <w:t>к программе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406B17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="005A66F4" w:rsidRPr="00406B17">
        <w:rPr>
          <w:rFonts w:ascii="Arial" w:hAnsi="Arial" w:cs="Arial"/>
          <w:sz w:val="24"/>
          <w:szCs w:val="24"/>
          <w:lang w:eastAsia="ru-RU"/>
        </w:rPr>
        <w:t>приложении</w:t>
      </w:r>
      <w:r w:rsidRPr="00406B17">
        <w:rPr>
          <w:rFonts w:ascii="Arial" w:hAnsi="Arial" w:cs="Arial"/>
          <w:sz w:val="24"/>
          <w:szCs w:val="24"/>
          <w:lang w:eastAsia="ru-RU"/>
        </w:rPr>
        <w:t>: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3.1. Объем средств муниципального бюджета (с учетом предоставленной субсидии), направляемых на финансирование меропри</w:t>
      </w:r>
      <w:r>
        <w:rPr>
          <w:rFonts w:ascii="Arial" w:hAnsi="Arial" w:cs="Arial"/>
          <w:sz w:val="24"/>
          <w:szCs w:val="24"/>
          <w:lang w:eastAsia="ru-RU"/>
        </w:rPr>
        <w:t>ятий муниципальной программы – 5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00 рублей, в том числе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50 тыс. рублей – на благоустройство дворовых территорий,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>50 тыс. рублей – на благоустройство общественных территорий.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дств с ф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1) проводится инвентаризация уровня благоустройства территории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2018-2022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б) порядок общественного обсуждения проекта муниципальной программы, </w:t>
      </w:r>
      <w:r w:rsidRPr="003F5C46">
        <w:rPr>
          <w:rFonts w:ascii="Arial" w:hAnsi="Arial" w:cs="Arial"/>
          <w:sz w:val="24"/>
          <w:szCs w:val="24"/>
        </w:rPr>
        <w:lastRenderedPageBreak/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3F5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их расходованием;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proofErr w:type="gramStart"/>
      <w:r w:rsidRPr="003F5C46">
        <w:rPr>
          <w:rFonts w:ascii="Arial" w:hAnsi="Arial" w:cs="Arial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="0010251E" w:rsidRPr="00406B17">
        <w:rPr>
          <w:rFonts w:ascii="Arial" w:hAnsi="Arial" w:cs="Arial"/>
          <w:sz w:val="24"/>
          <w:szCs w:val="24"/>
        </w:rPr>
        <w:t>приложении</w:t>
      </w:r>
      <w:r w:rsidRPr="00406B17">
        <w:rPr>
          <w:rFonts w:ascii="Arial" w:hAnsi="Arial" w:cs="Arial"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- ремонт асфальтобетонных покрытий и покрытий из тротуарных плит;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 и урн для сбора мусора, асфальтирование карманов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</w:t>
      </w:r>
      <w:r w:rsidRPr="003F5C46">
        <w:rPr>
          <w:rFonts w:ascii="Arial" w:hAnsi="Arial" w:cs="Arial"/>
          <w:sz w:val="24"/>
          <w:szCs w:val="24"/>
        </w:rPr>
        <w:lastRenderedPageBreak/>
        <w:t>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1BB" w:rsidRPr="003F5C46" w:rsidRDefault="004471BB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FB41F2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Подвеска нового самонесущего изолированного провода с 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комплектующими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(со стоимостью материала)</w:t>
            </w:r>
          </w:p>
          <w:p w:rsidR="004471BB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4471BB" w:rsidRPr="003F5C46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,2 м)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FB41F2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FB41F2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/>
          <w:bCs/>
          <w:kern w:val="3"/>
          <w:sz w:val="24"/>
          <w:szCs w:val="24"/>
          <w:lang w:eastAsia="hi-IN" w:bidi="hi-IN"/>
        </w:rPr>
      </w:pP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lastRenderedPageBreak/>
        <w:t>**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</w:t>
      </w:r>
      <w:proofErr w:type="spellStart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, на которых планируется благоустройство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7" w:anchor="Par29" w:history="1">
        <w:proofErr w:type="gramStart"/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proofErr w:type="gram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 w:rsidR="004471BB">
        <w:rPr>
          <w:rFonts w:ascii="Arial" w:hAnsi="Arial" w:cs="Arial"/>
          <w:sz w:val="24"/>
          <w:szCs w:val="24"/>
          <w:lang w:eastAsia="ru-RU"/>
        </w:rPr>
        <w:t>ниру</w:t>
      </w:r>
      <w:r w:rsidR="0010251E"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="004471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3F5C46">
        <w:rPr>
          <w:rFonts w:ascii="Arial" w:hAnsi="Arial" w:cs="Arial"/>
          <w:b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b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3F5C46">
        <w:rPr>
          <w:rFonts w:ascii="Arial" w:hAnsi="Arial" w:cs="Arial"/>
          <w:sz w:val="24"/>
          <w:szCs w:val="24"/>
        </w:rPr>
        <w:t>из</w:t>
      </w:r>
      <w:proofErr w:type="gramEnd"/>
      <w:r w:rsidRPr="003F5C46">
        <w:rPr>
          <w:rFonts w:ascii="Arial" w:hAnsi="Arial" w:cs="Arial"/>
          <w:sz w:val="24"/>
          <w:szCs w:val="24"/>
        </w:rPr>
        <w:t>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При разработке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</w:t>
      </w:r>
      <w:r w:rsidRPr="003F5C46">
        <w:rPr>
          <w:rFonts w:ascii="Arial" w:hAnsi="Arial" w:cs="Arial"/>
          <w:sz w:val="24"/>
          <w:szCs w:val="24"/>
        </w:rPr>
        <w:lastRenderedPageBreak/>
        <w:t xml:space="preserve">и утверждается протоколом Общественного обсуждения.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 w:rsidR="0010251E"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территорий с.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, на которых планиру</w:t>
      </w:r>
      <w:r w:rsidR="0010251E">
        <w:rPr>
          <w:rFonts w:ascii="Arial" w:eastAsia="Times New Roman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3.6.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и общественных территорий для инвалидов и других маломобильных групп населения.</w:t>
      </w:r>
      <w:proofErr w:type="gramEnd"/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3.7. Применение программного метода позволит поэтапно осуществлять комплексное благоустройство </w:t>
      </w:r>
      <w:r w:rsidRPr="003F5C46">
        <w:rPr>
          <w:rFonts w:ascii="Arial" w:hAnsi="Arial" w:cs="Arial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FB41F2" w:rsidRPr="003F5C46" w:rsidRDefault="00FB41F2" w:rsidP="00FB41F2">
      <w:pPr>
        <w:spacing w:after="0" w:line="240" w:lineRule="auto"/>
        <w:ind w:left="-108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>http: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spacing w:after="0" w:line="322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4.1. Общие положения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4.1.1.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4.1.3. Под формой финансового участия понимается минимальная доля финансового участия заинтересованных лиц в выполнении дополнительного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перечня работ по благоустройству дворовых территорий в размере, установленном органом местного самоуправления.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4.1.4.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4.1.5. Решение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4.2. О формах финансового участия и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4.2.2.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4.2.5.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4.2.6. Сектор по бухучету и финансам администрации муниципального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в соответствии с бюджетным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4.2.11.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FB41F2" w:rsidRPr="003F5C46" w:rsidRDefault="00FB41F2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района, в том числе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благоустройство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10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 муниципальной программе      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 муни</w:t>
      </w:r>
      <w:r w:rsidR="0010251E">
        <w:rPr>
          <w:rFonts w:ascii="Arial" w:eastAsia="Times New Roman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FB41F2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благоустроенными дворовыми территориями и проездами к дворовым территориям по отношению к общей численности населения 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CC0727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1BB" w:rsidRPr="003F5C46" w:rsidRDefault="004471BB" w:rsidP="00102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9525" b="0"/>
            <wp:docPr id="3" name="Рисунок 3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41F2" w:rsidRPr="00AC6321" w:rsidTr="004471BB">
        <w:trPr>
          <w:trHeight w:val="3534"/>
        </w:trPr>
        <w:tc>
          <w:tcPr>
            <w:tcW w:w="9464" w:type="dxa"/>
            <w:hideMark/>
          </w:tcPr>
          <w:p w:rsidR="00FB41F2" w:rsidRPr="003F5C46" w:rsidRDefault="00FB41F2" w:rsidP="004471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038600"/>
            <wp:effectExtent l="0" t="0" r="9525" b="0"/>
            <wp:docPr id="1" name="Рисунок 1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B17" w:rsidRPr="003F5C46" w:rsidRDefault="00406B17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</w:t>
      </w:r>
      <w:proofErr w:type="gramStart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FB41F2" w:rsidRPr="00AC6321" w:rsidTr="004471BB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CC0727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B41F2"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CC0727" w:rsidRDefault="00CC0727" w:rsidP="004471B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Общественные территории: благоустройство детской площадки ул. </w:t>
            </w:r>
            <w:proofErr w:type="gramStart"/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FB41F2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FB41F2" w:rsidRPr="003F5C46" w:rsidRDefault="00FB41F2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13"/>
        <w:gridCol w:w="839"/>
        <w:gridCol w:w="977"/>
        <w:gridCol w:w="976"/>
        <w:gridCol w:w="2076"/>
        <w:gridCol w:w="1541"/>
        <w:gridCol w:w="2615"/>
      </w:tblGrid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1F2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детской площадки 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C0727" w:rsidRP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73"/>
        <w:gridCol w:w="2835"/>
        <w:gridCol w:w="2552"/>
        <w:gridCol w:w="992"/>
        <w:gridCol w:w="851"/>
        <w:gridCol w:w="850"/>
        <w:gridCol w:w="851"/>
        <w:gridCol w:w="850"/>
        <w:gridCol w:w="851"/>
        <w:gridCol w:w="850"/>
        <w:gridCol w:w="975"/>
      </w:tblGrid>
      <w:tr w:rsidR="00FB41F2" w:rsidRPr="00AC6321" w:rsidTr="00157E74">
        <w:trPr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B41F2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Ind w:w="-454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FB41F2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B41F2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B41F2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в р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Ind w:w="-1791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FB41F2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FB41F2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200" w:line="276" w:lineRule="auto"/>
      </w:pPr>
    </w:p>
    <w:p w:rsidR="00FB41F2" w:rsidRDefault="00FB41F2" w:rsidP="00FB41F2"/>
    <w:p w:rsidR="00B25B82" w:rsidRDefault="00B25B82"/>
    <w:sectPr w:rsidR="00B25B82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0"/>
    <w:rsid w:val="0010251E"/>
    <w:rsid w:val="00157E74"/>
    <w:rsid w:val="00310813"/>
    <w:rsid w:val="00406B17"/>
    <w:rsid w:val="004471BB"/>
    <w:rsid w:val="004A31A9"/>
    <w:rsid w:val="004D23CD"/>
    <w:rsid w:val="005A66F4"/>
    <w:rsid w:val="006D0D2B"/>
    <w:rsid w:val="008B0101"/>
    <w:rsid w:val="009E3A3F"/>
    <w:rsid w:val="00A10625"/>
    <w:rsid w:val="00B13AD0"/>
    <w:rsid w:val="00B25B82"/>
    <w:rsid w:val="00CC0727"/>
    <w:rsid w:val="00D61CAE"/>
    <w:rsid w:val="00E95EDA"/>
    <w:rsid w:val="00F15477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E04C-715C-4028-9845-488392F9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4</cp:revision>
  <cp:lastPrinted>2017-10-31T08:05:00Z</cp:lastPrinted>
  <dcterms:created xsi:type="dcterms:W3CDTF">2019-03-22T08:20:00Z</dcterms:created>
  <dcterms:modified xsi:type="dcterms:W3CDTF">2019-03-22T08:27:00Z</dcterms:modified>
</cp:coreProperties>
</file>