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3D" w:rsidRDefault="00804C55" w:rsidP="00EB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86125" cy="12763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3D" w:rsidRDefault="0029213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13D" w:rsidRDefault="0029213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29213D" w:rsidRPr="00217031" w:rsidRDefault="0029213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Управлением Росреестра по Тульской области 17.05.2019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В рамках, указанного мероприятия начальником отдела геодезии и картографии Управления Росреестра по Тульской области Ишутенко М.В. принято </w:t>
      </w:r>
      <w:r>
        <w:rPr>
          <w:rFonts w:ascii="Times New Roman" w:hAnsi="Times New Roman"/>
          <w:sz w:val="28"/>
          <w:szCs w:val="28"/>
        </w:rPr>
        <w:t>более 10 звонков</w:t>
      </w:r>
      <w:r w:rsidRPr="00050314">
        <w:rPr>
          <w:rFonts w:ascii="Times New Roman" w:hAnsi="Times New Roman"/>
          <w:sz w:val="28"/>
          <w:szCs w:val="28"/>
        </w:rPr>
        <w:t xml:space="preserve"> заинтересованных лиц. 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Заявителей интересовали вопросы, связанные с лицензированием геодезической и картографической деятельности, а также вопросы, связанные с местоположением пунктов государственной геодезической сети на земельных участках граждан.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Гражданам было разъяснено, что г</w:t>
      </w:r>
      <w:r w:rsidRPr="00050314">
        <w:rPr>
          <w:rStyle w:val="a5"/>
          <w:rFonts w:ascii="Times New Roman" w:hAnsi="Times New Roman"/>
          <w:b w:val="0"/>
          <w:sz w:val="28"/>
          <w:szCs w:val="28"/>
        </w:rPr>
        <w:t>осударственная геодезическая сеть</w:t>
      </w:r>
      <w:r w:rsidRPr="0005031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50314">
        <w:rPr>
          <w:rFonts w:ascii="Times New Roman" w:hAnsi="Times New Roman"/>
          <w:sz w:val="28"/>
          <w:szCs w:val="28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050314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050314">
        <w:rPr>
          <w:rFonts w:ascii="Times New Roman" w:hAnsi="Times New Roman"/>
          <w:sz w:val="28"/>
          <w:szCs w:val="28"/>
        </w:rPr>
        <w:t xml:space="preserve"> 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Границы охранной зоны пункта на местности представляют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Напоминаем, что в</w:t>
      </w:r>
      <w:r w:rsidRPr="00050314">
        <w:rPr>
          <w:rFonts w:ascii="Times New Roman" w:hAnsi="Times New Roman"/>
          <w:sz w:val="28"/>
          <w:szCs w:val="28"/>
        </w:rPr>
        <w:t xml:space="preserve"> пределах границ охранных зон пунктов запрещается без письменного согласования с Управлением Росреестра по Тульской области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а) убирать, перемещать, засыпать или повреждать составные части пунктов;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г) проводить работы, не обеспечивающие сохранность пунктов.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50314">
        <w:rPr>
          <w:rFonts w:ascii="Times New Roman" w:hAnsi="Times New Roman"/>
          <w:sz w:val="28"/>
          <w:szCs w:val="28"/>
        </w:rPr>
        <w:t>знать местоположение пункта государственной геодезической сети возможно на «Публичной кадастровой карте» на портале Росреестра или запросив сведения из Единого государственного реестра недвижимости.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9213D" w:rsidRPr="00050314" w:rsidSect="003C26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44AA7"/>
    <w:rsid w:val="00050314"/>
    <w:rsid w:val="000D6EC5"/>
    <w:rsid w:val="00217031"/>
    <w:rsid w:val="0029213D"/>
    <w:rsid w:val="00324A43"/>
    <w:rsid w:val="003C2679"/>
    <w:rsid w:val="004A5A02"/>
    <w:rsid w:val="005E3F42"/>
    <w:rsid w:val="0063258B"/>
    <w:rsid w:val="00636A63"/>
    <w:rsid w:val="00654BEB"/>
    <w:rsid w:val="00804C55"/>
    <w:rsid w:val="008B08F8"/>
    <w:rsid w:val="008C0A78"/>
    <w:rsid w:val="00A65785"/>
    <w:rsid w:val="00BC447D"/>
    <w:rsid w:val="00BF10A7"/>
    <w:rsid w:val="00C8604C"/>
    <w:rsid w:val="00D25AEB"/>
    <w:rsid w:val="00D36DA7"/>
    <w:rsid w:val="00D83AB5"/>
    <w:rsid w:val="00DF4FEF"/>
    <w:rsid w:val="00E35C1A"/>
    <w:rsid w:val="00E95520"/>
    <w:rsid w:val="00EB254D"/>
    <w:rsid w:val="00EC2A07"/>
    <w:rsid w:val="00F05786"/>
    <w:rsid w:val="00F151FE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C8604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C8604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>Hewlett-Packard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Ишутенко Максим  Валерьевич</dc:creator>
  <cp:lastModifiedBy>3</cp:lastModifiedBy>
  <cp:revision>2</cp:revision>
  <cp:lastPrinted>2019-05-20T07:48:00Z</cp:lastPrinted>
  <dcterms:created xsi:type="dcterms:W3CDTF">2019-05-22T08:37:00Z</dcterms:created>
  <dcterms:modified xsi:type="dcterms:W3CDTF">2019-05-22T08:37:00Z</dcterms:modified>
</cp:coreProperties>
</file>