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7935E8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E8" w:rsidRPr="00A90002" w:rsidRDefault="007935E8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Имущественные и земельные отношения</w:t>
            </w:r>
          </w:p>
        </w:tc>
      </w:tr>
      <w:tr w:rsidR="007935E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E8" w:rsidRPr="00A90002" w:rsidRDefault="007935E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E8" w:rsidRPr="00A90002" w:rsidRDefault="007935E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Как убедиться в отсутствии нарушений требований земельного законодательства на своем земельном участке?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E8" w:rsidRPr="00A90002" w:rsidRDefault="007935E8" w:rsidP="000B7AB4">
            <w:pPr>
              <w:tabs>
                <w:tab w:val="left" w:pos="709"/>
              </w:tabs>
              <w:spacing w:after="0"/>
              <w:ind w:firstLine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Участникам земельных отношений в целях недопущения нарушений требований земельного законодательства рекомендуется принимать следующие меры: </w:t>
            </w:r>
          </w:p>
          <w:p w:rsidR="007935E8" w:rsidRPr="00A90002" w:rsidRDefault="007935E8" w:rsidP="000B7AB4">
            <w:pPr>
              <w:tabs>
                <w:tab w:val="left" w:pos="709"/>
              </w:tabs>
              <w:spacing w:after="0"/>
              <w:ind w:firstLine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проверить фактическое использование земельного участка, которое должно соответствовать правовому режиму земельного участка, указанному в правоустанавливающих документах на землю и в ЕГРН. Напоминаем, что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законодательства. Нарушение в виде использования земельного участка в соответствии с его принадлежностью к той или иной категории земель и (или) разрешенным использованием, может быть допущено, например, при строительстве или размещении магазинов, пунктов технического обслуживания автотранспорта либо автомоек и других объектов коммерческого назначения на земельных участках, предназначенных для индивидуальных жилых домов. Следует отметить, что любой </w:t>
            </w:r>
            <w:hyperlink r:id="rId5" w:history="1">
              <w:r w:rsidRPr="00A900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вид</w:t>
              </w:r>
            </w:hyperlink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 </w:t>
            </w:r>
            <w:proofErr w:type="gramStart"/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Вместе с тем исходя из системного толкования </w:t>
            </w:r>
            <w:hyperlink r:id="rId6" w:history="1">
              <w:r w:rsidRPr="00A900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статьи 37</w:t>
              </w:r>
            </w:hyperlink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Федерации, </w:t>
            </w:r>
            <w:hyperlink r:id="rId7" w:history="1">
              <w:r w:rsidRPr="00A900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статей 1</w:t>
              </w:r>
            </w:hyperlink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A900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7</w:t>
              </w:r>
            </w:hyperlink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A900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16</w:t>
              </w:r>
            </w:hyperlink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A900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23</w:t>
              </w:r>
            </w:hyperlink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от 24.07.2007 № 221-ФЗ «О государственном кадастре недвижимости» следует обязанность лица оформить в установленном действующим законодательством порядке свой выбор вида разрешенного использования земельного участка из числа всех допустимых для категории, к которой относится земельный участок;</w:t>
            </w:r>
            <w:proofErr w:type="gramEnd"/>
          </w:p>
          <w:p w:rsidR="007935E8" w:rsidRPr="00A90002" w:rsidRDefault="007935E8" w:rsidP="000B7AB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>- не допускать зарастания земель сельскохозяйственного назначения деревьями и кустарниками, сорными растениями, производить предусмотренные статьей 13 Земельного кодекса Российской Федерации агротехнические, мелиоративные и фитосанитарные мероприятия, регламентированные статьей 1 Федерального закона от 16.07.1998 № 101-ФЗ «О государственном регулировании обеспечения плодородия земель сельскохозяйственного назначения», в том числе производить расчистку мелиорируемых земель от древесной и травянистой растительности, кочек, пней и мха, и иные мероприятия по</w:t>
            </w:r>
            <w:proofErr w:type="gramEnd"/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воспроизводству плодородия почв, защите земель от деградации;</w:t>
            </w:r>
          </w:p>
          <w:p w:rsidR="007935E8" w:rsidRPr="00A90002" w:rsidRDefault="007935E8" w:rsidP="000B7AB4">
            <w:pPr>
              <w:tabs>
                <w:tab w:val="left" w:pos="709"/>
              </w:tabs>
              <w:spacing w:after="0"/>
              <w:ind w:firstLine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в случае отсутствия предусмотренных законодательством Российской Федерации прав на земельный участок обратиться в уполномоченные органы для предоставления таких прав на землю в целях недопущения нарушения требования использовать земельные участки при наличии предусмотренных законодательством Российской Федерации прав на земельный участок;</w:t>
            </w:r>
          </w:p>
          <w:p w:rsidR="007935E8" w:rsidRPr="00A90002" w:rsidRDefault="007935E8" w:rsidP="000B7AB4">
            <w:pPr>
              <w:tabs>
                <w:tab w:val="left" w:pos="709"/>
              </w:tabs>
              <w:spacing w:after="0"/>
              <w:ind w:firstLine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проверить в порядке </w:t>
            </w:r>
            <w:proofErr w:type="gramStart"/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допущено ли самовольное занятие земель - изменение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землепользователям. Удостовериться, что границы используемого земельного участка соответствуют границам земельного участка, содержащимся в ЕГРН, и не пересекают границы смежных земельных участков. Правообладателям земельных участков, границы которых не установлены в соответствии с требованиями земельного законодательства, рекомендуется рассмотреть возможность проведения межевания. Для этого необходимо обратиться к кадастровому инженеру для проведения кадастровых работ, в результате которых будет уточнено местоположение границ земельного участка с последующим внесением сведений о границах земельного участка в ЕГРН.</w:t>
            </w:r>
            <w:r w:rsidRPr="00A90002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Внесение в ЕГРН сведений о границах избавит правообладателей от возможных споров, в том числе со смежными землепользователями. </w:t>
            </w:r>
          </w:p>
          <w:p w:rsidR="007935E8" w:rsidRPr="00A90002" w:rsidRDefault="007935E8" w:rsidP="000B7AB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если границы земельного участка установлены в действующей системе координат, то способом подтверждения соответствия фактических границ документально закрепленным является вынос границ земельного участка путем проведения таких работ кадастровым инженером в ходе которых рекомендуется:</w:t>
            </w:r>
          </w:p>
          <w:p w:rsidR="007935E8" w:rsidRPr="00A90002" w:rsidRDefault="007935E8" w:rsidP="000B7AB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>– определить соответствует ли площадь огороженного земельного участка, площади, указанной в документах на земельный участок;</w:t>
            </w:r>
          </w:p>
          <w:p w:rsidR="007935E8" w:rsidRPr="00A90002" w:rsidRDefault="007935E8" w:rsidP="000B7AB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>– установить, что постройки, ограждения, ограничивающие доступ на территорию, находятся в границах используемого земельного участка.</w:t>
            </w:r>
          </w:p>
          <w:p w:rsidR="007935E8" w:rsidRPr="00A90002" w:rsidRDefault="007935E8" w:rsidP="000B7AB4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0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Обозначенные меры позволят избежать спорных ситуаций с правообладателями смежных земельных участков, а также нарушений земельного законодательства, вследствие которых может наступить административная ответственность в виде штрафных санкций.  </w:t>
            </w:r>
          </w:p>
          <w:p w:rsidR="007935E8" w:rsidRPr="00A90002" w:rsidRDefault="007935E8" w:rsidP="000B7AB4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35E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E8" w:rsidRPr="00A90002" w:rsidRDefault="007935E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E8" w:rsidRPr="00A90002" w:rsidRDefault="007935E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Предусмотрена ли рассрочка</w:t>
            </w:r>
            <w:r w:rsidRPr="00A90002">
              <w:rPr>
                <w:rFonts w:cs="Times New Roman"/>
                <w:b/>
                <w:sz w:val="24"/>
                <w:szCs w:val="24"/>
              </w:rPr>
              <w:br/>
              <w:t>при оплате договора купли-продажи земельного участка?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E8" w:rsidRPr="00A90002" w:rsidRDefault="007935E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 соответствии с Земельным кодексом Российской Федерации заявителю дается 30 дней на подписание и оплату договора купли-продажи земельного участка. Рассрочка при данной операции законодательно не предусмотрена.</w:t>
            </w:r>
          </w:p>
        </w:tc>
      </w:tr>
    </w:tbl>
    <w:p w:rsidR="00761980" w:rsidRDefault="00761980">
      <w:bookmarkStart w:id="0" w:name="_GoBack"/>
      <w:bookmarkEnd w:id="0"/>
    </w:p>
    <w:sectPr w:rsidR="00761980" w:rsidSect="00793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E8"/>
    <w:rsid w:val="00761980"/>
    <w:rsid w:val="007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18B710DD83B99036717C5CFA7DC7536D47D8D541C113C9590C8B4E409825D4970DE30D35906307Dt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F18B710DD83B99036717C5CFA7DC7536D47D8D541C113C9590C8B4E409825D4970DE30D35906347Dt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18B710DD83B99036717C5CFA7DC7536D47D835C1C113C9590C8B4E409825D4970DE30D359033D7Dt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79F53D768809B8501AEE764FBDA9DB8E460168274257FD117C2C2195C9AAD8C8387280C6A12E80mDi7I" TargetMode="External"/><Relationship Id="rId10" Type="http://schemas.openxmlformats.org/officeDocument/2006/relationships/hyperlink" Target="consultantplus://offline/ref=67F18B710DD83B99036717C5CFA7DC7536D47D8D541C113C9590C8B4E409825D4970DE30D359073D7Dt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18B710DD83B99036717C5CFA7DC7536D47D8D541C113C9590C8B4E409825D4970DE30D35907317D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2019-07-19T12:11:00Z</dcterms:created>
  <dcterms:modified xsi:type="dcterms:W3CDTF">2019-07-19T12:11:00Z</dcterms:modified>
</cp:coreProperties>
</file>